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761D" w14:textId="03F4332F" w:rsidR="007330BB" w:rsidRDefault="007330BB" w:rsidP="007330BB">
      <w:r>
        <w:rPr>
          <w:rFonts w:cs="Cordia New"/>
          <w:cs/>
        </w:rPr>
        <w:t>การส่งออกทุเรียนไทยไปยังประเทศจีน</w:t>
      </w:r>
      <w:r>
        <w:rPr>
          <w:rFonts w:cs="Cordia New" w:hint="cs"/>
          <w:cs/>
        </w:rPr>
        <w:t xml:space="preserve"> เกษตรกรผู้ผลิต</w:t>
      </w:r>
      <w:r>
        <w:rPr>
          <w:rFonts w:cs="Cordia New"/>
          <w:cs/>
        </w:rPr>
        <w:t xml:space="preserve">ต้องปฏิบัติตามมาตรฐาน </w:t>
      </w:r>
      <w:r>
        <w:t xml:space="preserve">GAP (Good Agricultural Practices) </w:t>
      </w:r>
      <w:r>
        <w:rPr>
          <w:rFonts w:cs="Cordia New"/>
          <w:cs/>
        </w:rPr>
        <w:t>เพื่อรับรองความปลอดภัยและคุณภาพของผลผลิต ตั้งแต่การปลูก ดูแล ไปจนถึงการเก็บเกี่ยว ซึ่งเป็นข้อกำหนดสำคัญที่สร้างความเชื่อมั่นให้กับผู้บริโภค</w:t>
      </w:r>
      <w:r>
        <w:rPr>
          <w:rFonts w:cs="Cordia New" w:hint="cs"/>
          <w:cs/>
        </w:rPr>
        <w:t>ทั้งในและ</w:t>
      </w:r>
      <w:r>
        <w:rPr>
          <w:rFonts w:cs="Cordia New"/>
          <w:cs/>
        </w:rPr>
        <w:t>ต่างประเทศ</w:t>
      </w:r>
    </w:p>
    <w:p w14:paraId="41580F2C" w14:textId="332C803E" w:rsidR="007330BB" w:rsidRDefault="007330BB" w:rsidP="007330BB">
      <w:pPr>
        <w:rPr>
          <w:rFonts w:hint="cs"/>
          <w:cs/>
        </w:rPr>
      </w:pPr>
      <w:r>
        <w:rPr>
          <w:rFonts w:cs="Cordia New"/>
          <w:cs/>
        </w:rPr>
        <w:t>เพื่อสนับสนุน</w:t>
      </w:r>
      <w:r>
        <w:rPr>
          <w:rFonts w:cs="Cordia New" w:hint="cs"/>
          <w:cs/>
        </w:rPr>
        <w:t>และส่งเสริม</w:t>
      </w:r>
      <w:r>
        <w:rPr>
          <w:rFonts w:cs="Cordia New"/>
          <w:cs/>
        </w:rPr>
        <w:t>เกษตรกรและผู้ประกอบการ</w:t>
      </w:r>
      <w:r>
        <w:rPr>
          <w:rFonts w:cs="Cordia New" w:hint="cs"/>
          <w:cs/>
        </w:rPr>
        <w:t>ส่งออกทุเรียนไทยไปประเทศจีน</w:t>
      </w:r>
      <w:r>
        <w:rPr>
          <w:rFonts w:cs="Cordia New"/>
          <w:cs/>
        </w:rPr>
        <w:t xml:space="preserve"> </w:t>
      </w:r>
      <w:r>
        <w:rPr>
          <w:rFonts w:cs="Cordia New" w:hint="cs"/>
          <w:cs/>
        </w:rPr>
        <w:t>บริษัท</w:t>
      </w:r>
      <w:r>
        <w:rPr>
          <w:rFonts w:cs="Cordia New"/>
          <w:cs/>
        </w:rPr>
        <w:t>ไออาร์พีซี</w:t>
      </w:r>
      <w:r>
        <w:rPr>
          <w:rFonts w:cs="Cordia New" w:hint="cs"/>
          <w:cs/>
        </w:rPr>
        <w:t xml:space="preserve"> จำกัด(มหาชน) </w:t>
      </w:r>
      <w:r>
        <w:rPr>
          <w:rFonts w:cs="Cordia New"/>
          <w:cs/>
        </w:rPr>
        <w:t>ได้จัดตั้งห้องปฏิบัติการ</w:t>
      </w:r>
      <w:r>
        <w:rPr>
          <w:rFonts w:cs="Cordia New" w:hint="cs"/>
          <w:cs/>
        </w:rPr>
        <w:t>สินค้าเกษตรและสารอาหาร</w:t>
      </w:r>
      <w:r>
        <w:rPr>
          <w:rFonts w:cs="Cordia New"/>
          <w:cs/>
        </w:rPr>
        <w:t>พืช</w:t>
      </w:r>
      <w:r>
        <w:rPr>
          <w:rFonts w:cs="Cordia New" w:hint="cs"/>
          <w:cs/>
        </w:rPr>
        <w:t xml:space="preserve"> </w:t>
      </w:r>
      <w:r>
        <w:rPr>
          <w:rFonts w:cs="Cordia New"/>
        </w:rPr>
        <w:t>(Agricultural Product Laboratory)</w:t>
      </w:r>
      <w:r>
        <w:rPr>
          <w:rFonts w:cs="Cordia New"/>
          <w:cs/>
        </w:rPr>
        <w:t xml:space="preserve"> ให้บริการ</w:t>
      </w:r>
      <w:r>
        <w:rPr>
          <w:rFonts w:cs="Cordia New" w:hint="cs"/>
          <w:cs/>
        </w:rPr>
        <w:t>วิเคราะห์ทด</w:t>
      </w:r>
      <w:r>
        <w:rPr>
          <w:rFonts w:cs="Cordia New"/>
          <w:cs/>
        </w:rPr>
        <w:t xml:space="preserve">สอบสารปนเปื้อนสำคัญ </w:t>
      </w:r>
      <w:r>
        <w:rPr>
          <w:rFonts w:cs="Cordia New" w:hint="cs"/>
          <w:cs/>
        </w:rPr>
        <w:t>ได้แก่</w:t>
      </w:r>
      <w:r>
        <w:rPr>
          <w:rFonts w:cs="Cordia New"/>
          <w:cs/>
        </w:rPr>
        <w:t xml:space="preserve"> </w:t>
      </w:r>
      <w:r>
        <w:t>BY</w:t>
      </w:r>
      <w:r>
        <w:rPr>
          <w:rFonts w:cs="Cordia New"/>
          <w:cs/>
        </w:rPr>
        <w:t>2 และแคดเมียม (</w:t>
      </w:r>
      <w:r>
        <w:t xml:space="preserve">Cd) </w:t>
      </w:r>
      <w:r>
        <w:rPr>
          <w:rFonts w:cs="Cordia New"/>
          <w:cs/>
        </w:rPr>
        <w:t>ในทุเรียน เพื่อให้มั่นใจว่าผลผลิตปลอดภัยตามมาตรฐาน</w:t>
      </w:r>
      <w:r>
        <w:rPr>
          <w:rFonts w:cs="Cordia New" w:hint="cs"/>
          <w:cs/>
        </w:rPr>
        <w:t>การส่งออกไปประเทศจีน</w:t>
      </w:r>
      <w:r>
        <w:rPr>
          <w:rFonts w:hint="cs"/>
          <w:cs/>
        </w:rPr>
        <w:t xml:space="preserve"> </w:t>
      </w:r>
      <w:r>
        <w:rPr>
          <w:rFonts w:cs="Cordia New"/>
          <w:cs/>
        </w:rPr>
        <w:t>ห้องปฏิบัติการตั้งอยู่ในจังหวัดระยอง ใกล้แหล่ง</w:t>
      </w:r>
      <w:r>
        <w:rPr>
          <w:rFonts w:cs="Cordia New" w:hint="cs"/>
          <w:cs/>
        </w:rPr>
        <w:t>ชาวสวน</w:t>
      </w:r>
      <w:r>
        <w:rPr>
          <w:rFonts w:cs="Cordia New"/>
          <w:cs/>
        </w:rPr>
        <w:t>ทุเรียน</w:t>
      </w:r>
      <w:r>
        <w:rPr>
          <w:rFonts w:cs="Cordia New" w:hint="cs"/>
          <w:cs/>
        </w:rPr>
        <w:t>ในจังหวัดและภาคตะวันออก</w:t>
      </w:r>
      <w:r>
        <w:rPr>
          <w:rFonts w:cs="Cordia New"/>
          <w:cs/>
        </w:rPr>
        <w:t xml:space="preserve"> </w:t>
      </w:r>
      <w:r>
        <w:rPr>
          <w:rFonts w:hint="cs"/>
          <w:cs/>
        </w:rPr>
        <w:t>เข้าถึงได้</w:t>
      </w:r>
      <w:r>
        <w:rPr>
          <w:rFonts w:cs="Cordia New"/>
          <w:cs/>
        </w:rPr>
        <w:t>สะดวกและรวดเร็ว ลด</w:t>
      </w:r>
      <w:r w:rsidR="008A4F2C">
        <w:rPr>
          <w:rFonts w:cs="Cordia New" w:hint="cs"/>
          <w:cs/>
        </w:rPr>
        <w:t>ระยะ</w:t>
      </w:r>
      <w:r>
        <w:rPr>
          <w:rFonts w:cs="Cordia New"/>
          <w:cs/>
        </w:rPr>
        <w:t>เวลาในการขนส่ง</w:t>
      </w:r>
      <w:r w:rsidR="008A4F2C">
        <w:t xml:space="preserve"> </w:t>
      </w:r>
      <w:r w:rsidR="008A4F2C">
        <w:rPr>
          <w:rFonts w:hint="cs"/>
          <w:cs/>
        </w:rPr>
        <w:t>และห้องปฏิบัติการทดสอบ บริษัทไออาร์พีซี ยังได้รับการรับรองตามมาตรฐาน มอก</w:t>
      </w:r>
      <w:r w:rsidR="008A4F2C">
        <w:t xml:space="preserve">. 17025 </w:t>
      </w:r>
      <w:r w:rsidR="008A4F2C">
        <w:rPr>
          <w:rFonts w:hint="cs"/>
          <w:cs/>
        </w:rPr>
        <w:t>ให้ความเชื่อมั่นในระบบควบคุมคุณภาพ</w:t>
      </w:r>
    </w:p>
    <w:p w14:paraId="2729E4D6" w14:textId="31A0005E" w:rsidR="007330BB" w:rsidRDefault="007330BB" w:rsidP="007330BB">
      <w:r>
        <w:rPr>
          <w:rFonts w:cs="Cordia New"/>
          <w:cs/>
        </w:rPr>
        <w:t>บริการนี้เป็นอีกหนึ่งกลไกสำคัญที่ช่วยผลักดันการส่งออกทุเรียนไทยให้เติบโตอย่างยั่งยืนในตลาดโลก</w:t>
      </w:r>
    </w:p>
    <w:p w14:paraId="6DEDAF20" w14:textId="77777777" w:rsidR="008A4F2C" w:rsidRPr="008A4F2C" w:rsidRDefault="008A4F2C" w:rsidP="008A4F2C">
      <w:r w:rsidRPr="008A4F2C">
        <w:t xml:space="preserve">To export Thai durian to China, growers must comply with </w:t>
      </w:r>
      <w:r w:rsidRPr="008A4F2C">
        <w:rPr>
          <w:b/>
          <w:bCs/>
        </w:rPr>
        <w:t>GAP (Good Agricultural Practices)</w:t>
      </w:r>
      <w:r w:rsidRPr="008A4F2C">
        <w:t xml:space="preserve"> standards to ensure the safety and quality of the produce throughout the entire process—from cultivation and care to harvesting. These requirements are essential for building trust among consumers both domestically and internationally.</w:t>
      </w:r>
    </w:p>
    <w:p w14:paraId="52645CF4" w14:textId="58BF6D3D" w:rsidR="008A4F2C" w:rsidRPr="008A4F2C" w:rsidRDefault="008A4F2C" w:rsidP="008A4F2C">
      <w:r w:rsidRPr="008A4F2C">
        <w:t xml:space="preserve">To support and promote Thai durian exports to China, </w:t>
      </w:r>
      <w:r w:rsidRPr="008A4F2C">
        <w:rPr>
          <w:b/>
          <w:bCs/>
        </w:rPr>
        <w:t>IRPC Public Company Limited</w:t>
      </w:r>
      <w:r w:rsidRPr="008A4F2C">
        <w:t xml:space="preserve"> has established the </w:t>
      </w:r>
      <w:r w:rsidRPr="008A4F2C">
        <w:rPr>
          <w:b/>
          <w:bCs/>
        </w:rPr>
        <w:t>Agricultural Product Laboratory</w:t>
      </w:r>
      <w:r w:rsidRPr="008A4F2C">
        <w:t xml:space="preserve">, offering testing services for critical contaminants such as </w:t>
      </w:r>
      <w:r w:rsidRPr="008A4F2C">
        <w:rPr>
          <w:b/>
          <w:bCs/>
        </w:rPr>
        <w:t>BY2 and Cadmium (Cd)</w:t>
      </w:r>
      <w:r w:rsidRPr="008A4F2C">
        <w:t xml:space="preserve"> in durian. This ensures that the produce meets export safety standards required by China.</w:t>
      </w:r>
    </w:p>
    <w:p w14:paraId="6F4EE011" w14:textId="2D26135A" w:rsidR="008A4F2C" w:rsidRPr="008A4F2C" w:rsidRDefault="008A4F2C" w:rsidP="008A4F2C">
      <w:r w:rsidRPr="008A4F2C">
        <w:rPr>
          <w:b/>
          <w:bCs/>
        </w:rPr>
        <w:t>IRPC</w:t>
      </w:r>
      <w:r>
        <w:rPr>
          <w:b/>
          <w:bCs/>
        </w:rPr>
        <w:t xml:space="preserve"> Testing Service</w:t>
      </w:r>
    </w:p>
    <w:p w14:paraId="3FF6EDCD" w14:textId="77777777" w:rsidR="008A4F2C" w:rsidRPr="008A4F2C" w:rsidRDefault="008A4F2C" w:rsidP="008A4F2C">
      <w:pPr>
        <w:numPr>
          <w:ilvl w:val="0"/>
          <w:numId w:val="1"/>
        </w:numPr>
      </w:pPr>
      <w:r w:rsidRPr="008A4F2C">
        <w:rPr>
          <w:b/>
          <w:bCs/>
        </w:rPr>
        <w:t>Convenient and Fast</w:t>
      </w:r>
      <w:r w:rsidRPr="008A4F2C">
        <w:t xml:space="preserve">: The laboratory </w:t>
      </w:r>
      <w:proofErr w:type="gramStart"/>
      <w:r w:rsidRPr="008A4F2C">
        <w:t>is located in</w:t>
      </w:r>
      <w:proofErr w:type="gramEnd"/>
      <w:r w:rsidRPr="008A4F2C">
        <w:t xml:space="preserve"> Rayong Province, close to major durian-growing areas in the East, reducing transportation time and improving accessibility.</w:t>
      </w:r>
    </w:p>
    <w:p w14:paraId="7F0DB499" w14:textId="7F383F13" w:rsidR="008A4F2C" w:rsidRPr="008A4F2C" w:rsidRDefault="008A4F2C" w:rsidP="008A4F2C">
      <w:pPr>
        <w:numPr>
          <w:ilvl w:val="0"/>
          <w:numId w:val="1"/>
        </w:numPr>
      </w:pPr>
      <w:r w:rsidRPr="008A4F2C">
        <w:rPr>
          <w:b/>
          <w:bCs/>
        </w:rPr>
        <w:t>International Standards</w:t>
      </w:r>
      <w:r w:rsidRPr="008A4F2C">
        <w:t xml:space="preserve">: The laboratory is accredited under </w:t>
      </w:r>
      <w:r>
        <w:rPr>
          <w:b/>
          <w:bCs/>
        </w:rPr>
        <w:t>ISO/IEC</w:t>
      </w:r>
      <w:r w:rsidRPr="008A4F2C">
        <w:rPr>
          <w:b/>
          <w:bCs/>
        </w:rPr>
        <w:t xml:space="preserve"> 17025</w:t>
      </w:r>
      <w:r w:rsidRPr="008A4F2C">
        <w:t>, ensuring reliable quality control systems.</w:t>
      </w:r>
    </w:p>
    <w:p w14:paraId="4BD65DB3" w14:textId="77777777" w:rsidR="008A4F2C" w:rsidRPr="008A4F2C" w:rsidRDefault="008A4F2C" w:rsidP="008A4F2C">
      <w:pPr>
        <w:numPr>
          <w:ilvl w:val="0"/>
          <w:numId w:val="1"/>
        </w:numPr>
      </w:pPr>
      <w:r w:rsidRPr="008A4F2C">
        <w:rPr>
          <w:b/>
          <w:bCs/>
        </w:rPr>
        <w:t>Export Support</w:t>
      </w:r>
      <w:r w:rsidRPr="008A4F2C">
        <w:t xml:space="preserve">: Helps Thai durian </w:t>
      </w:r>
      <w:proofErr w:type="gramStart"/>
      <w:r w:rsidRPr="008A4F2C">
        <w:t>meet</w:t>
      </w:r>
      <w:proofErr w:type="gramEnd"/>
      <w:r w:rsidRPr="008A4F2C">
        <w:t xml:space="preserve"> international requirements with confidence.</w:t>
      </w:r>
    </w:p>
    <w:p w14:paraId="79D56946" w14:textId="77777777" w:rsidR="008A4F2C" w:rsidRPr="008A4F2C" w:rsidRDefault="008A4F2C" w:rsidP="008A4F2C">
      <w:r w:rsidRPr="008A4F2C">
        <w:t>This service is a vital mechanism to drive sustainable growth of Thai durian exports in the global market.</w:t>
      </w:r>
    </w:p>
    <w:tbl>
      <w:tblPr>
        <w:tblStyle w:val="TableGrid"/>
        <w:tblW w:w="0" w:type="auto"/>
        <w:tblLook w:val="04A0" w:firstRow="1" w:lastRow="0" w:firstColumn="1" w:lastColumn="0" w:noHBand="0" w:noVBand="1"/>
      </w:tblPr>
      <w:tblGrid>
        <w:gridCol w:w="2405"/>
        <w:gridCol w:w="2103"/>
        <w:gridCol w:w="2254"/>
        <w:gridCol w:w="2254"/>
      </w:tblGrid>
      <w:tr w:rsidR="00863678" w14:paraId="2CF5102F" w14:textId="77777777" w:rsidTr="00863678">
        <w:tc>
          <w:tcPr>
            <w:tcW w:w="2405" w:type="dxa"/>
          </w:tcPr>
          <w:p w14:paraId="05D29A4A" w14:textId="16DE84FE" w:rsidR="00863678" w:rsidRDefault="00863678" w:rsidP="007330BB">
            <w:r>
              <w:t>Basic Yellow 2 (BY2)</w:t>
            </w:r>
          </w:p>
        </w:tc>
        <w:tc>
          <w:tcPr>
            <w:tcW w:w="2103" w:type="dxa"/>
          </w:tcPr>
          <w:p w14:paraId="4F4F8375" w14:textId="77777777" w:rsidR="00863678" w:rsidRDefault="00863678" w:rsidP="007330BB">
            <w:r>
              <w:t xml:space="preserve">Inhouse method </w:t>
            </w:r>
            <w:proofErr w:type="gramStart"/>
            <w:r>
              <w:t>base</w:t>
            </w:r>
            <w:proofErr w:type="gramEnd"/>
            <w:r>
              <w:t xml:space="preserve"> on </w:t>
            </w:r>
          </w:p>
          <w:p w14:paraId="7B75AD25" w14:textId="367F5E40" w:rsidR="00863678" w:rsidRDefault="00863678" w:rsidP="007330BB">
            <w:r>
              <w:t>BJS 202204</w:t>
            </w:r>
          </w:p>
        </w:tc>
        <w:tc>
          <w:tcPr>
            <w:tcW w:w="2254" w:type="dxa"/>
          </w:tcPr>
          <w:p w14:paraId="6C806158" w14:textId="5633CA3D" w:rsidR="00863678" w:rsidRDefault="00863678" w:rsidP="007330BB">
            <w:r>
              <w:t>48 Hrs.</w:t>
            </w:r>
          </w:p>
        </w:tc>
        <w:tc>
          <w:tcPr>
            <w:tcW w:w="2254" w:type="dxa"/>
            <w:vMerge w:val="restart"/>
          </w:tcPr>
          <w:p w14:paraId="14236562" w14:textId="496EEEF1" w:rsidR="00863678" w:rsidRDefault="00863678" w:rsidP="00863678">
            <w:pPr>
              <w:jc w:val="center"/>
            </w:pPr>
            <w:r>
              <w:t>5 Durians</w:t>
            </w:r>
          </w:p>
        </w:tc>
      </w:tr>
      <w:tr w:rsidR="00863678" w14:paraId="7BD0A475" w14:textId="77777777" w:rsidTr="00863678">
        <w:tc>
          <w:tcPr>
            <w:tcW w:w="2405" w:type="dxa"/>
          </w:tcPr>
          <w:p w14:paraId="507A9BA9" w14:textId="59933B62" w:rsidR="00863678" w:rsidRDefault="00863678" w:rsidP="007330BB">
            <w:r>
              <w:t>Cadmium (Cd)</w:t>
            </w:r>
          </w:p>
        </w:tc>
        <w:tc>
          <w:tcPr>
            <w:tcW w:w="2103" w:type="dxa"/>
          </w:tcPr>
          <w:p w14:paraId="0AB29244" w14:textId="0FB38F3A" w:rsidR="00863678" w:rsidRDefault="00863678" w:rsidP="007330BB">
            <w:r>
              <w:t>AOAC 999.10</w:t>
            </w:r>
          </w:p>
        </w:tc>
        <w:tc>
          <w:tcPr>
            <w:tcW w:w="2254" w:type="dxa"/>
          </w:tcPr>
          <w:p w14:paraId="7FA1F571" w14:textId="15F47D68" w:rsidR="00863678" w:rsidRDefault="00863678" w:rsidP="007330BB">
            <w:r>
              <w:t>48 Hrs.</w:t>
            </w:r>
          </w:p>
        </w:tc>
        <w:tc>
          <w:tcPr>
            <w:tcW w:w="2254" w:type="dxa"/>
            <w:vMerge/>
          </w:tcPr>
          <w:p w14:paraId="0351FFD8" w14:textId="77777777" w:rsidR="00863678" w:rsidRDefault="00863678" w:rsidP="007330BB"/>
        </w:tc>
      </w:tr>
    </w:tbl>
    <w:p w14:paraId="50B776BA" w14:textId="77777777" w:rsidR="008A4F2C" w:rsidRDefault="008A4F2C" w:rsidP="007330BB"/>
    <w:p w14:paraId="2EF6C994" w14:textId="3D146402" w:rsidR="00863678" w:rsidRDefault="00E5365D" w:rsidP="007330BB">
      <w:r w:rsidRPr="00E5365D">
        <w:rPr>
          <w:rFonts w:cs="Cordia New"/>
          <w:cs/>
        </w:rPr>
        <w:lastRenderedPageBreak/>
        <w:drawing>
          <wp:inline distT="0" distB="0" distL="0" distR="0" wp14:anchorId="524D74B8" wp14:editId="0083A870">
            <wp:extent cx="2362321" cy="2019404"/>
            <wp:effectExtent l="0" t="0" r="0" b="0"/>
            <wp:docPr id="1141877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77081" name=""/>
                    <pic:cNvPicPr/>
                  </pic:nvPicPr>
                  <pic:blipFill>
                    <a:blip r:embed="rId5"/>
                    <a:stretch>
                      <a:fillRect/>
                    </a:stretch>
                  </pic:blipFill>
                  <pic:spPr>
                    <a:xfrm>
                      <a:off x="0" y="0"/>
                      <a:ext cx="2362321" cy="2019404"/>
                    </a:xfrm>
                    <a:prstGeom prst="rect">
                      <a:avLst/>
                    </a:prstGeom>
                  </pic:spPr>
                </pic:pic>
              </a:graphicData>
            </a:graphic>
          </wp:inline>
        </w:drawing>
      </w:r>
    </w:p>
    <w:p w14:paraId="49B4789E" w14:textId="77777777" w:rsidR="00E5365D" w:rsidRDefault="00E5365D" w:rsidP="007330BB">
      <w:pPr>
        <w:rPr>
          <w:rFonts w:hint="cs"/>
          <w:cs/>
        </w:rPr>
      </w:pPr>
    </w:p>
    <w:sectPr w:rsidR="00E53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F4D"/>
    <w:multiLevelType w:val="multilevel"/>
    <w:tmpl w:val="0D2A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99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BB"/>
    <w:rsid w:val="006942CC"/>
    <w:rsid w:val="007330BB"/>
    <w:rsid w:val="00846577"/>
    <w:rsid w:val="00863678"/>
    <w:rsid w:val="008A4F2C"/>
    <w:rsid w:val="00C04FE6"/>
    <w:rsid w:val="00E5365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D87F"/>
  <w15:chartTrackingRefBased/>
  <w15:docId w15:val="{BE3BC4A7-A007-4CD9-8180-3C29A69B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0BB"/>
    <w:pPr>
      <w:keepNext/>
      <w:keepLines/>
      <w:spacing w:before="320" w:after="4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330BB"/>
    <w:pPr>
      <w:keepNext/>
      <w:keepLines/>
      <w:spacing w:before="120" w:after="4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330BB"/>
    <w:pPr>
      <w:keepNext/>
      <w:keepLines/>
      <w:spacing w:before="120" w:after="4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33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0B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330B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330B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33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0BB"/>
    <w:rPr>
      <w:rFonts w:eastAsiaTheme="majorEastAsia" w:cstheme="majorBidi"/>
      <w:color w:val="272727" w:themeColor="text1" w:themeTint="D8"/>
    </w:rPr>
  </w:style>
  <w:style w:type="paragraph" w:styleId="Title">
    <w:name w:val="Title"/>
    <w:basedOn w:val="Normal"/>
    <w:next w:val="Normal"/>
    <w:link w:val="TitleChar"/>
    <w:uiPriority w:val="10"/>
    <w:qFormat/>
    <w:rsid w:val="007330BB"/>
    <w:pPr>
      <w:spacing w:after="4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330B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330B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330B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330BB"/>
    <w:pPr>
      <w:spacing w:before="160"/>
      <w:jc w:val="center"/>
    </w:pPr>
    <w:rPr>
      <w:i/>
      <w:iCs/>
      <w:color w:val="404040" w:themeColor="text1" w:themeTint="BF"/>
    </w:rPr>
  </w:style>
  <w:style w:type="character" w:customStyle="1" w:styleId="QuoteChar">
    <w:name w:val="Quote Char"/>
    <w:basedOn w:val="DefaultParagraphFont"/>
    <w:link w:val="Quote"/>
    <w:uiPriority w:val="29"/>
    <w:rsid w:val="007330BB"/>
    <w:rPr>
      <w:i/>
      <w:iCs/>
      <w:color w:val="404040" w:themeColor="text1" w:themeTint="BF"/>
    </w:rPr>
  </w:style>
  <w:style w:type="paragraph" w:styleId="ListParagraph">
    <w:name w:val="List Paragraph"/>
    <w:basedOn w:val="Normal"/>
    <w:uiPriority w:val="34"/>
    <w:qFormat/>
    <w:rsid w:val="007330BB"/>
    <w:pPr>
      <w:ind w:left="720"/>
      <w:contextualSpacing/>
    </w:pPr>
  </w:style>
  <w:style w:type="character" w:styleId="IntenseEmphasis">
    <w:name w:val="Intense Emphasis"/>
    <w:basedOn w:val="DefaultParagraphFont"/>
    <w:uiPriority w:val="21"/>
    <w:qFormat/>
    <w:rsid w:val="007330BB"/>
    <w:rPr>
      <w:i/>
      <w:iCs/>
      <w:color w:val="0F4761" w:themeColor="accent1" w:themeShade="BF"/>
    </w:rPr>
  </w:style>
  <w:style w:type="paragraph" w:styleId="IntenseQuote">
    <w:name w:val="Intense Quote"/>
    <w:basedOn w:val="Normal"/>
    <w:next w:val="Normal"/>
    <w:link w:val="IntenseQuoteChar"/>
    <w:uiPriority w:val="30"/>
    <w:qFormat/>
    <w:rsid w:val="00733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0BB"/>
    <w:rPr>
      <w:i/>
      <w:iCs/>
      <w:color w:val="0F4761" w:themeColor="accent1" w:themeShade="BF"/>
    </w:rPr>
  </w:style>
  <w:style w:type="character" w:styleId="IntenseReference">
    <w:name w:val="Intense Reference"/>
    <w:basedOn w:val="DefaultParagraphFont"/>
    <w:uiPriority w:val="32"/>
    <w:qFormat/>
    <w:rsid w:val="007330BB"/>
    <w:rPr>
      <w:b/>
      <w:bCs/>
      <w:smallCaps/>
      <w:color w:val="0F4761" w:themeColor="accent1" w:themeShade="BF"/>
      <w:spacing w:val="5"/>
    </w:rPr>
  </w:style>
  <w:style w:type="table" w:styleId="TableGrid">
    <w:name w:val="Table Grid"/>
    <w:basedOn w:val="TableNormal"/>
    <w:uiPriority w:val="39"/>
    <w:rsid w:val="006942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Tuangphak Chaiyawong</dc:creator>
  <cp:keywords/>
  <dc:description/>
  <cp:lastModifiedBy>Tuangphak Chaiyawong</cp:lastModifiedBy>
  <cp:revision>1</cp:revision>
  <dcterms:created xsi:type="dcterms:W3CDTF">2026-01-13T06:18:00Z</dcterms:created>
  <dcterms:modified xsi:type="dcterms:W3CDTF">2026-01-13T10:06:00Z</dcterms:modified>
</cp:coreProperties>
</file>